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444F" w14:textId="4675B262" w:rsidR="00AC671E" w:rsidRPr="003C5937" w:rsidRDefault="0000027E" w:rsidP="00AC671E">
      <w:pPr>
        <w:jc w:val="center"/>
        <w:rPr>
          <w:rFonts w:ascii="Times New Roman" w:eastAsia="Times New Roman" w:hAnsi="Times New Roman" w:cs="Times New Roman"/>
          <w:b/>
          <w:bCs/>
          <w:kern w:val="0"/>
          <w:sz w:val="28"/>
          <w:szCs w:val="28"/>
          <w14:ligatures w14:val="none"/>
        </w:rPr>
      </w:pPr>
      <w:r w:rsidRPr="003C5937">
        <w:rPr>
          <w:b/>
          <w:bCs/>
          <w:sz w:val="28"/>
          <w:szCs w:val="28"/>
        </w:rPr>
        <w:t>BPM Market Ops PRR 1668</w:t>
      </w:r>
    </w:p>
    <w:p w14:paraId="1EAB78A6" w14:textId="3C0F3753"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Section 2.2.3</w:t>
      </w:r>
      <w:r w:rsidRPr="00AC671E">
        <w:rPr>
          <w:rFonts w:ascii="Arial" w:eastAsia="Times New Roman" w:hAnsi="Arial" w:cs="Arial"/>
          <w:kern w:val="0"/>
          <w14:ligatures w14:val="none"/>
        </w:rPr>
        <w:br/>
        <w:t xml:space="preserve">The draft language references the “CAISO forecast of BAA demand,” but it is unclear whether this is intended to represent a single CAISO-wide forecast or individual forecasts for each BAA. </w:t>
      </w:r>
      <w:r w:rsidR="00EC3C17">
        <w:rPr>
          <w:rFonts w:ascii="Arial" w:eastAsia="Times New Roman" w:hAnsi="Arial" w:cs="Arial"/>
          <w:kern w:val="0"/>
          <w14:ligatures w14:val="none"/>
        </w:rPr>
        <w:t xml:space="preserve">Added clarity would help here and we ask that the CAISO also ensure consistent use of </w:t>
      </w:r>
      <w:r w:rsidRPr="00AC671E">
        <w:rPr>
          <w:rFonts w:ascii="Arial" w:eastAsia="Times New Roman" w:hAnsi="Arial" w:cs="Arial"/>
          <w:kern w:val="0"/>
          <w14:ligatures w14:val="none"/>
        </w:rPr>
        <w:t xml:space="preserve">terminology throughout </w:t>
      </w:r>
      <w:proofErr w:type="gramStart"/>
      <w:r w:rsidRPr="00AC671E">
        <w:rPr>
          <w:rFonts w:ascii="Arial" w:eastAsia="Times New Roman" w:hAnsi="Arial" w:cs="Arial"/>
          <w:kern w:val="0"/>
          <w14:ligatures w14:val="none"/>
        </w:rPr>
        <w:t>the BPM</w:t>
      </w:r>
      <w:proofErr w:type="gramEnd"/>
      <w:r w:rsidRPr="00AC671E">
        <w:rPr>
          <w:rFonts w:ascii="Arial" w:eastAsia="Times New Roman" w:hAnsi="Arial" w:cs="Arial"/>
          <w:kern w:val="0"/>
          <w14:ligatures w14:val="none"/>
        </w:rPr>
        <w:t xml:space="preserve"> when referencing BAA-level demand forecasts.</w:t>
      </w:r>
    </w:p>
    <w:p w14:paraId="4254CCE0" w14:textId="501C300B"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Section 3.2.2 (pg. 65)</w:t>
      </w:r>
      <w:r w:rsidRPr="00AC671E">
        <w:rPr>
          <w:rFonts w:ascii="Arial" w:eastAsia="Times New Roman" w:hAnsi="Arial" w:cs="Arial"/>
          <w:kern w:val="0"/>
          <w14:ligatures w14:val="none"/>
        </w:rPr>
        <w:br/>
        <w:t xml:space="preserve">The definition of the System Marginal Reliability Cost states that it is derived from a “system-wide” perspective and is the same for all </w:t>
      </w:r>
      <w:proofErr w:type="spellStart"/>
      <w:r w:rsidRPr="00AC671E">
        <w:rPr>
          <w:rFonts w:ascii="Arial" w:eastAsia="Times New Roman" w:hAnsi="Arial" w:cs="Arial"/>
          <w:kern w:val="0"/>
          <w14:ligatures w14:val="none"/>
        </w:rPr>
        <w:t>PNodes</w:t>
      </w:r>
      <w:proofErr w:type="spellEnd"/>
      <w:r w:rsidRPr="00AC671E">
        <w:rPr>
          <w:rFonts w:ascii="Arial" w:eastAsia="Times New Roman" w:hAnsi="Arial" w:cs="Arial"/>
          <w:kern w:val="0"/>
          <w14:ligatures w14:val="none"/>
        </w:rPr>
        <w:t xml:space="preserve">. However, </w:t>
      </w:r>
      <w:r w:rsidR="00EC3C17">
        <w:rPr>
          <w:rFonts w:ascii="Arial" w:eastAsia="Times New Roman" w:hAnsi="Arial" w:cs="Arial"/>
          <w:kern w:val="0"/>
          <w14:ligatures w14:val="none"/>
        </w:rPr>
        <w:t xml:space="preserve">it </w:t>
      </w:r>
      <w:r w:rsidRPr="00AC671E">
        <w:rPr>
          <w:rFonts w:ascii="Arial" w:eastAsia="Times New Roman" w:hAnsi="Arial" w:cs="Arial"/>
          <w:kern w:val="0"/>
          <w14:ligatures w14:val="none"/>
        </w:rPr>
        <w:t>is unclear whether this refers to the entire EDAM footprint or is intended to apply at the BAA level.</w:t>
      </w:r>
      <w:r w:rsidR="00EC3C17">
        <w:rPr>
          <w:rFonts w:ascii="Arial" w:eastAsia="Times New Roman" w:hAnsi="Arial" w:cs="Arial"/>
          <w:kern w:val="0"/>
          <w14:ligatures w14:val="none"/>
        </w:rPr>
        <w:t xml:space="preserve"> </w:t>
      </w:r>
      <w:r w:rsidR="00890C03">
        <w:rPr>
          <w:rFonts w:ascii="Arial" w:eastAsia="Times New Roman" w:hAnsi="Arial" w:cs="Arial"/>
          <w:kern w:val="0"/>
          <w14:ligatures w14:val="none"/>
        </w:rPr>
        <w:t>It is our understanding that this should be BAA level to be aligned with the concept of the MEC (marginal energy cost) rather than the SMEC (System Marginal Energy Cost).</w:t>
      </w:r>
      <w:r w:rsidR="00EC3C17">
        <w:rPr>
          <w:rFonts w:ascii="Arial" w:eastAsia="Times New Roman" w:hAnsi="Arial" w:cs="Arial"/>
          <w:kern w:val="0"/>
          <w14:ligatures w14:val="none"/>
        </w:rPr>
        <w:t xml:space="preserve"> The added clarification would be helpful.</w:t>
      </w:r>
    </w:p>
    <w:p w14:paraId="440F431D" w14:textId="3A8E92CF"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Section 3.2.3 (pg. 65)</w:t>
      </w:r>
      <w:r w:rsidRPr="00AC671E">
        <w:rPr>
          <w:rFonts w:ascii="Arial" w:eastAsia="Times New Roman" w:hAnsi="Arial" w:cs="Arial"/>
          <w:kern w:val="0"/>
          <w14:ligatures w14:val="none"/>
        </w:rPr>
        <w:br/>
        <w:t xml:space="preserve">Similar to the comment above, the description of the IRMP references a “system-wide energy component” that is uniform across </w:t>
      </w:r>
      <w:proofErr w:type="spellStart"/>
      <w:r w:rsidRPr="00AC671E">
        <w:rPr>
          <w:rFonts w:ascii="Arial" w:eastAsia="Times New Roman" w:hAnsi="Arial" w:cs="Arial"/>
          <w:kern w:val="0"/>
          <w14:ligatures w14:val="none"/>
        </w:rPr>
        <w:t>PNodes</w:t>
      </w:r>
      <w:proofErr w:type="spellEnd"/>
      <w:r w:rsidRPr="00AC671E">
        <w:rPr>
          <w:rFonts w:ascii="Arial" w:eastAsia="Times New Roman" w:hAnsi="Arial" w:cs="Arial"/>
          <w:kern w:val="0"/>
          <w14:ligatures w14:val="none"/>
        </w:rPr>
        <w:t>. The use of “system-wide” here introduces the same ambiguity regarding whether the scope is footprint-wide or BAA-specific. Providing a clear definition would improve consistency and avoid potential misinterpretation.</w:t>
      </w:r>
    </w:p>
    <w:p w14:paraId="31BCDC94" w14:textId="1FB09D61"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Section 3.2.3 (pg. 66)</w:t>
      </w:r>
      <w:r w:rsidRPr="00AC671E">
        <w:rPr>
          <w:rFonts w:ascii="Arial" w:eastAsia="Times New Roman" w:hAnsi="Arial" w:cs="Arial"/>
          <w:kern w:val="0"/>
          <w14:ligatures w14:val="none"/>
        </w:rPr>
        <w:br/>
        <w:t xml:space="preserve">The description of the Marginal Cost of Congestion explains how it is calculated but does not </w:t>
      </w:r>
      <w:r w:rsidR="00EC3C17">
        <w:rPr>
          <w:rFonts w:ascii="Arial" w:eastAsia="Times New Roman" w:hAnsi="Arial" w:cs="Arial"/>
          <w:kern w:val="0"/>
          <w14:ligatures w14:val="none"/>
        </w:rPr>
        <w:t>elaborate on the congestion from the deployment scenarios</w:t>
      </w:r>
      <w:r w:rsidRPr="00AC671E">
        <w:rPr>
          <w:rFonts w:ascii="Arial" w:eastAsia="Times New Roman" w:hAnsi="Arial" w:cs="Arial"/>
          <w:kern w:val="0"/>
          <w14:ligatures w14:val="none"/>
        </w:rPr>
        <w:t>. It would be helpful to clarify that congestion associated with downward deployment is reflected in IRD (and energy) prices, while congestion associated with upward deployment is reflected in IRU (and energy) prices, as this linkage is important for understanding price formation.</w:t>
      </w:r>
    </w:p>
    <w:p w14:paraId="492F17E5" w14:textId="64A2E2EE"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Section 6.5.1 (pg. 87)</w:t>
      </w:r>
      <w:r w:rsidRPr="00AC671E">
        <w:rPr>
          <w:rFonts w:ascii="Arial" w:eastAsia="Times New Roman" w:hAnsi="Arial" w:cs="Arial"/>
          <w:kern w:val="0"/>
          <w14:ligatures w14:val="none"/>
        </w:rPr>
        <w:br/>
        <w:t xml:space="preserve">The draft language states that all modeled transmission constraints are enforced across the base, upward, and downward scenarios. This statement appears overly broad, as the constraints enforced in the upward and downward deployment scenarios may differ from those in the base case. Clarifying this distinction would </w:t>
      </w:r>
      <w:r w:rsidR="00EC3C17">
        <w:rPr>
          <w:rFonts w:ascii="Arial" w:eastAsia="Times New Roman" w:hAnsi="Arial" w:cs="Arial"/>
          <w:kern w:val="0"/>
          <w14:ligatures w14:val="none"/>
        </w:rPr>
        <w:t>be helpful</w:t>
      </w:r>
      <w:r w:rsidRPr="00AC671E">
        <w:rPr>
          <w:rFonts w:ascii="Arial" w:eastAsia="Times New Roman" w:hAnsi="Arial" w:cs="Arial"/>
          <w:kern w:val="0"/>
          <w14:ligatures w14:val="none"/>
        </w:rPr>
        <w:t xml:space="preserve">. In addition, the BPM does not appear to specify the values of </w:t>
      </w:r>
      <w:r w:rsidR="00EC3C17">
        <w:rPr>
          <w:rFonts w:ascii="Arial" w:eastAsia="Times New Roman" w:hAnsi="Arial" w:cs="Arial"/>
          <w:kern w:val="0"/>
          <w14:ligatures w14:val="none"/>
        </w:rPr>
        <w:t>this and the other</w:t>
      </w:r>
      <w:r w:rsidRPr="00AC671E">
        <w:rPr>
          <w:rFonts w:ascii="Arial" w:eastAsia="Times New Roman" w:hAnsi="Arial" w:cs="Arial"/>
          <w:kern w:val="0"/>
          <w14:ligatures w14:val="none"/>
        </w:rPr>
        <w:t xml:space="preserve"> configurable parameters or where they are documented. Including this information, or referencing the appropriate section, would improve transparency and allow stakeholders to track potential changes over time. It may also be helpful to note that the evaluation of constraint competitiveness is described in more detail elsewhere in the BPM.</w:t>
      </w:r>
    </w:p>
    <w:p w14:paraId="5EEE2DEC" w14:textId="559A107C"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6. Section 6.5.1 (pg. 88)</w:t>
      </w:r>
      <w:r w:rsidRPr="00AC671E">
        <w:rPr>
          <w:rFonts w:ascii="Arial" w:eastAsia="Times New Roman" w:hAnsi="Arial" w:cs="Arial"/>
          <w:kern w:val="0"/>
          <w14:ligatures w14:val="none"/>
        </w:rPr>
        <w:br/>
        <w:t xml:space="preserve">The discussion of LMP decomposition would benefit from additional detail. </w:t>
      </w:r>
      <w:proofErr w:type="gramStart"/>
      <w:r w:rsidRPr="00AC671E">
        <w:rPr>
          <w:rFonts w:ascii="Arial" w:eastAsia="Times New Roman" w:hAnsi="Arial" w:cs="Arial"/>
          <w:kern w:val="0"/>
          <w14:ligatures w14:val="none"/>
        </w:rPr>
        <w:t>In particular, it</w:t>
      </w:r>
      <w:proofErr w:type="gramEnd"/>
      <w:r w:rsidRPr="00AC671E">
        <w:rPr>
          <w:rFonts w:ascii="Arial" w:eastAsia="Times New Roman" w:hAnsi="Arial" w:cs="Arial"/>
          <w:kern w:val="0"/>
          <w14:ligatures w14:val="none"/>
        </w:rPr>
        <w:t xml:space="preserve"> would be useful to include decomposition for IRU and IRD prices, as well as to further </w:t>
      </w:r>
      <w:r w:rsidRPr="00AC671E">
        <w:rPr>
          <w:rFonts w:ascii="Arial" w:eastAsia="Times New Roman" w:hAnsi="Arial" w:cs="Arial"/>
          <w:kern w:val="0"/>
          <w14:ligatures w14:val="none"/>
        </w:rPr>
        <w:lastRenderedPageBreak/>
        <w:t>describe how congestion components are constructed. Providing a breakdown of congestion contributions from the base case, IRU deployment scenario, and IRD deployment scenario</w:t>
      </w:r>
      <w:r w:rsidRPr="00890C03">
        <w:rPr>
          <w:rFonts w:ascii="Arial" w:eastAsia="Times New Roman" w:hAnsi="Arial" w:cs="Arial"/>
          <w:kern w:val="0"/>
          <w14:ligatures w14:val="none"/>
        </w:rPr>
        <w:t xml:space="preserve">, </w:t>
      </w:r>
      <w:r w:rsidRPr="00AC671E">
        <w:rPr>
          <w:rFonts w:ascii="Arial" w:eastAsia="Times New Roman" w:hAnsi="Arial" w:cs="Arial"/>
          <w:kern w:val="0"/>
          <w14:ligatures w14:val="none"/>
        </w:rPr>
        <w:t>or clearly describing how these elements are incorporated</w:t>
      </w:r>
      <w:r w:rsidRPr="00890C03">
        <w:rPr>
          <w:rFonts w:ascii="Arial" w:eastAsia="Times New Roman" w:hAnsi="Arial" w:cs="Arial"/>
          <w:kern w:val="0"/>
          <w14:ligatures w14:val="none"/>
        </w:rPr>
        <w:t xml:space="preserve">, </w:t>
      </w:r>
      <w:r w:rsidRPr="00AC671E">
        <w:rPr>
          <w:rFonts w:ascii="Arial" w:eastAsia="Times New Roman" w:hAnsi="Arial" w:cs="Arial"/>
          <w:kern w:val="0"/>
          <w14:ligatures w14:val="none"/>
        </w:rPr>
        <w:t>would improve transparency.</w:t>
      </w:r>
    </w:p>
    <w:p w14:paraId="17BD610F" w14:textId="582F8E90"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7. Section 6.5.2 (pg. 88)</w:t>
      </w:r>
      <w:r w:rsidRPr="00AC671E">
        <w:rPr>
          <w:rFonts w:ascii="Arial" w:eastAsia="Times New Roman" w:hAnsi="Arial" w:cs="Arial"/>
          <w:kern w:val="0"/>
          <w14:ligatures w14:val="none"/>
        </w:rPr>
        <w:br/>
        <w:t xml:space="preserve">The BPM does not explicitly state whether IRD bids are subject to mitigation. </w:t>
      </w:r>
      <w:r w:rsidRPr="00890C03">
        <w:rPr>
          <w:rFonts w:ascii="Arial" w:eastAsia="Times New Roman" w:hAnsi="Arial" w:cs="Arial"/>
          <w:kern w:val="0"/>
          <w14:ligatures w14:val="none"/>
        </w:rPr>
        <w:t>I</w:t>
      </w:r>
      <w:r w:rsidRPr="00AC671E">
        <w:rPr>
          <w:rFonts w:ascii="Arial" w:eastAsia="Times New Roman" w:hAnsi="Arial" w:cs="Arial"/>
          <w:kern w:val="0"/>
          <w14:ligatures w14:val="none"/>
        </w:rPr>
        <w:t>t would be helpful to include a clear statement confirming whether IRD bids are or are not subject to mitigation.</w:t>
      </w:r>
      <w:r w:rsidRPr="00890C03">
        <w:rPr>
          <w:rFonts w:ascii="Arial" w:eastAsia="Times New Roman" w:hAnsi="Arial" w:cs="Arial"/>
          <w:kern w:val="0"/>
          <w14:ligatures w14:val="none"/>
        </w:rPr>
        <w:t xml:space="preserve"> It is our understanding that they are not subject to mitigation.</w:t>
      </w:r>
    </w:p>
    <w:p w14:paraId="7CBB530A" w14:textId="77777777"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8. Section 6.5.3 (pg. 90)</w:t>
      </w:r>
      <w:r w:rsidRPr="00AC671E">
        <w:rPr>
          <w:rFonts w:ascii="Arial" w:eastAsia="Times New Roman" w:hAnsi="Arial" w:cs="Arial"/>
          <w:kern w:val="0"/>
          <w14:ligatures w14:val="none"/>
        </w:rPr>
        <w:br/>
        <w:t>The description of the base scenario references cleared bid-in load and physical energy schedules but does not clarify whether virtual transactions are included. It would be useful to specify whether the base scenario incorporates only physical supply or includes both physical and virtual supply.</w:t>
      </w:r>
    </w:p>
    <w:p w14:paraId="3E4FF55F" w14:textId="145B0723"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9. Section 6.6.2.3.1</w:t>
      </w:r>
      <w:r w:rsidRPr="00AC671E">
        <w:rPr>
          <w:rFonts w:ascii="Arial" w:eastAsia="Times New Roman" w:hAnsi="Arial" w:cs="Arial"/>
          <w:kern w:val="0"/>
          <w14:ligatures w14:val="none"/>
        </w:rPr>
        <w:br/>
        <w:t>The discussion of SOC constraints for imbalance reserves and ancillary services would benefit from additional detail. Specifically, including the formulas for the ASSOC and envelope constraints</w:t>
      </w:r>
      <w:r w:rsidR="00B95415" w:rsidRPr="00890C03">
        <w:rPr>
          <w:rFonts w:ascii="Arial" w:eastAsia="Times New Roman" w:hAnsi="Arial" w:cs="Arial"/>
          <w:kern w:val="0"/>
          <w14:ligatures w14:val="none"/>
        </w:rPr>
        <w:t xml:space="preserve">, </w:t>
      </w:r>
      <w:r w:rsidRPr="00AC671E">
        <w:rPr>
          <w:rFonts w:ascii="Arial" w:eastAsia="Times New Roman" w:hAnsi="Arial" w:cs="Arial"/>
          <w:kern w:val="0"/>
          <w14:ligatures w14:val="none"/>
        </w:rPr>
        <w:t>or referencing another section where they are provided. In addition, the BPM should include or reference the attenuation factors used for the new imbalance reserve products, particularly since these are configurable parameters.</w:t>
      </w:r>
    </w:p>
    <w:p w14:paraId="355FB197" w14:textId="3F7FA6B7"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10. Section 6.6.8.1 (pg. 136)</w:t>
      </w:r>
      <w:r w:rsidRPr="00AC671E">
        <w:rPr>
          <w:rFonts w:ascii="Arial" w:eastAsia="Times New Roman" w:hAnsi="Arial" w:cs="Arial"/>
          <w:kern w:val="0"/>
          <w14:ligatures w14:val="none"/>
        </w:rPr>
        <w:br/>
        <w:t>The BPM states that imbalance reserves are procured to meet “system-wide requirements,” but it is unclear whether this refers to the EDAM footprint as a whole or to individual BAAs. As with earlier sections, clarifying the intended scope of “system-wide” would improve consistency and understanding.</w:t>
      </w:r>
      <w:r w:rsidR="00890C03">
        <w:rPr>
          <w:rFonts w:ascii="Arial" w:eastAsia="Times New Roman" w:hAnsi="Arial" w:cs="Arial"/>
          <w:kern w:val="0"/>
          <w14:ligatures w14:val="none"/>
        </w:rPr>
        <w:t xml:space="preserve"> It is our understanding that each BAA has its own requirement. </w:t>
      </w:r>
    </w:p>
    <w:p w14:paraId="547D914C" w14:textId="7994A84E"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11. Section 6.6.8.1 (pg. 137)</w:t>
      </w:r>
      <w:r w:rsidRPr="00AC671E">
        <w:rPr>
          <w:rFonts w:ascii="Arial" w:eastAsia="Times New Roman" w:hAnsi="Arial" w:cs="Arial"/>
          <w:kern w:val="0"/>
          <w14:ligatures w14:val="none"/>
        </w:rPr>
        <w:br/>
        <w:t xml:space="preserve">The BPM does not </w:t>
      </w:r>
      <w:r w:rsidR="00B95415" w:rsidRPr="00890C03">
        <w:rPr>
          <w:rFonts w:ascii="Arial" w:eastAsia="Times New Roman" w:hAnsi="Arial" w:cs="Arial"/>
          <w:kern w:val="0"/>
          <w14:ligatures w14:val="none"/>
        </w:rPr>
        <w:t xml:space="preserve">seem </w:t>
      </w:r>
      <w:proofErr w:type="gramStart"/>
      <w:r w:rsidR="00B95415" w:rsidRPr="00890C03">
        <w:rPr>
          <w:rFonts w:ascii="Arial" w:eastAsia="Times New Roman" w:hAnsi="Arial" w:cs="Arial"/>
          <w:kern w:val="0"/>
          <w14:ligatures w14:val="none"/>
        </w:rPr>
        <w:t xml:space="preserve">to </w:t>
      </w:r>
      <w:r w:rsidRPr="00AC671E">
        <w:rPr>
          <w:rFonts w:ascii="Arial" w:eastAsia="Times New Roman" w:hAnsi="Arial" w:cs="Arial"/>
          <w:kern w:val="0"/>
          <w14:ligatures w14:val="none"/>
        </w:rPr>
        <w:t>currently</w:t>
      </w:r>
      <w:proofErr w:type="gramEnd"/>
      <w:r w:rsidRPr="00AC671E">
        <w:rPr>
          <w:rFonts w:ascii="Arial" w:eastAsia="Times New Roman" w:hAnsi="Arial" w:cs="Arial"/>
          <w:kern w:val="0"/>
          <w14:ligatures w14:val="none"/>
        </w:rPr>
        <w:t xml:space="preserve"> describe how the</w:t>
      </w:r>
      <w:r w:rsidR="009149E3">
        <w:rPr>
          <w:rFonts w:ascii="Arial" w:eastAsia="Times New Roman" w:hAnsi="Arial" w:cs="Arial"/>
          <w:kern w:val="0"/>
          <w14:ligatures w14:val="none"/>
        </w:rPr>
        <w:t xml:space="preserve"> requirements and</w:t>
      </w:r>
      <w:r w:rsidRPr="00AC671E">
        <w:rPr>
          <w:rFonts w:ascii="Arial" w:eastAsia="Times New Roman" w:hAnsi="Arial" w:cs="Arial"/>
          <w:kern w:val="0"/>
          <w14:ligatures w14:val="none"/>
        </w:rPr>
        <w:t xml:space="preserve"> diversity benefit is calculated or applied. Given its importance to determining imbalance reserve requirements, it would be helpful to include an explanation of how the diversity benefit is calculated and how it is allocated to each BAA’s IRU and IRD requirements.</w:t>
      </w:r>
    </w:p>
    <w:p w14:paraId="46A9636C" w14:textId="429E853D"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12. Imbalance Reserve Demand Curve</w:t>
      </w:r>
      <w:r w:rsidRPr="00AC671E">
        <w:rPr>
          <w:rFonts w:ascii="Arial" w:eastAsia="Times New Roman" w:hAnsi="Arial" w:cs="Arial"/>
          <w:kern w:val="0"/>
          <w14:ligatures w14:val="none"/>
        </w:rPr>
        <w:br/>
      </w:r>
      <w:r w:rsidR="00B95415" w:rsidRPr="00890C03">
        <w:rPr>
          <w:rFonts w:ascii="Arial" w:eastAsia="Times New Roman" w:hAnsi="Arial" w:cs="Arial"/>
          <w:kern w:val="0"/>
          <w14:ligatures w14:val="none"/>
        </w:rPr>
        <w:t>The BPM does not seem to</w:t>
      </w:r>
      <w:r w:rsidRPr="00AC671E">
        <w:rPr>
          <w:rFonts w:ascii="Arial" w:eastAsia="Times New Roman" w:hAnsi="Arial" w:cs="Arial"/>
          <w:kern w:val="0"/>
          <w14:ligatures w14:val="none"/>
        </w:rPr>
        <w:t xml:space="preserve"> provide any description of how </w:t>
      </w:r>
      <w:r w:rsidR="00B95415" w:rsidRPr="00890C03">
        <w:rPr>
          <w:rFonts w:ascii="Arial" w:eastAsia="Times New Roman" w:hAnsi="Arial" w:cs="Arial"/>
          <w:kern w:val="0"/>
          <w14:ligatures w14:val="none"/>
        </w:rPr>
        <w:t>the IR</w:t>
      </w:r>
      <w:r w:rsidRPr="00AC671E">
        <w:rPr>
          <w:rFonts w:ascii="Arial" w:eastAsia="Times New Roman" w:hAnsi="Arial" w:cs="Arial"/>
          <w:kern w:val="0"/>
          <w14:ligatures w14:val="none"/>
        </w:rPr>
        <w:t xml:space="preserve"> demand curve is defined or applied. </w:t>
      </w:r>
      <w:r w:rsidR="00890C03">
        <w:rPr>
          <w:rFonts w:ascii="Arial" w:eastAsia="Times New Roman" w:hAnsi="Arial" w:cs="Arial"/>
          <w:kern w:val="0"/>
          <w14:ligatures w14:val="none"/>
        </w:rPr>
        <w:t>Recommend including</w:t>
      </w:r>
      <w:r w:rsidRPr="00AC671E">
        <w:rPr>
          <w:rFonts w:ascii="Arial" w:eastAsia="Times New Roman" w:hAnsi="Arial" w:cs="Arial"/>
          <w:kern w:val="0"/>
          <w14:ligatures w14:val="none"/>
        </w:rPr>
        <w:t xml:space="preserve"> this </w:t>
      </w:r>
      <w:proofErr w:type="gramStart"/>
      <w:r w:rsidRPr="00AC671E">
        <w:rPr>
          <w:rFonts w:ascii="Arial" w:eastAsia="Times New Roman" w:hAnsi="Arial" w:cs="Arial"/>
          <w:kern w:val="0"/>
          <w14:ligatures w14:val="none"/>
        </w:rPr>
        <w:t>information, or</w:t>
      </w:r>
      <w:proofErr w:type="gramEnd"/>
      <w:r w:rsidRPr="00AC671E">
        <w:rPr>
          <w:rFonts w:ascii="Arial" w:eastAsia="Times New Roman" w:hAnsi="Arial" w:cs="Arial"/>
          <w:kern w:val="0"/>
          <w14:ligatures w14:val="none"/>
        </w:rPr>
        <w:t xml:space="preserve"> clearly referencing the section where it is described in detail.</w:t>
      </w:r>
    </w:p>
    <w:p w14:paraId="64F3C314" w14:textId="46A1C0D3" w:rsidR="009149E3"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13. Deployment Scenarios and Deliverability</w:t>
      </w:r>
      <w:r w:rsidRPr="00AC671E">
        <w:rPr>
          <w:rFonts w:ascii="Arial" w:eastAsia="Times New Roman" w:hAnsi="Arial" w:cs="Arial"/>
          <w:kern w:val="0"/>
          <w14:ligatures w14:val="none"/>
        </w:rPr>
        <w:br/>
        <w:t xml:space="preserve">The BPM does not appear to include information about the deployment scenarios used for deliverability testing, including the percentage of imbalance reserves that is tested, which is understood to be a configurable parameter. In addition, it would be helpful to include an explanation of how IRU and IRD </w:t>
      </w:r>
      <w:r w:rsidR="00B95415" w:rsidRPr="00890C03">
        <w:rPr>
          <w:rFonts w:ascii="Arial" w:eastAsia="Times New Roman" w:hAnsi="Arial" w:cs="Arial"/>
          <w:kern w:val="0"/>
          <w14:ligatures w14:val="none"/>
        </w:rPr>
        <w:t>requirements</w:t>
      </w:r>
      <w:r w:rsidRPr="00AC671E">
        <w:rPr>
          <w:rFonts w:ascii="Arial" w:eastAsia="Times New Roman" w:hAnsi="Arial" w:cs="Arial"/>
          <w:kern w:val="0"/>
          <w14:ligatures w14:val="none"/>
        </w:rPr>
        <w:t xml:space="preserve"> are distributed across nodes </w:t>
      </w:r>
      <w:r w:rsidRPr="00AC671E">
        <w:rPr>
          <w:rFonts w:ascii="Arial" w:eastAsia="Times New Roman" w:hAnsi="Arial" w:cs="Arial"/>
          <w:kern w:val="0"/>
          <w14:ligatures w14:val="none"/>
        </w:rPr>
        <w:lastRenderedPageBreak/>
        <w:t>during these deployment scenarios. Providing this information would improve understanding of how the model ensures deliverability.</w:t>
      </w:r>
    </w:p>
    <w:p w14:paraId="22A2D3B7" w14:textId="445A5E2B"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14. Section 6.8 (Storage in RUC)</w:t>
      </w:r>
      <w:r w:rsidRPr="00AC671E">
        <w:rPr>
          <w:rFonts w:ascii="Arial" w:eastAsia="Times New Roman" w:hAnsi="Arial" w:cs="Arial"/>
          <w:kern w:val="0"/>
          <w14:ligatures w14:val="none"/>
        </w:rPr>
        <w:br/>
        <w:t xml:space="preserve">The discussion of the RUC process would benefit from additional explanation of how storage resources participate. </w:t>
      </w:r>
      <w:proofErr w:type="gramStart"/>
      <w:r w:rsidRPr="00AC671E">
        <w:rPr>
          <w:rFonts w:ascii="Arial" w:eastAsia="Times New Roman" w:hAnsi="Arial" w:cs="Arial"/>
          <w:kern w:val="0"/>
          <w14:ligatures w14:val="none"/>
        </w:rPr>
        <w:t>In particular, it</w:t>
      </w:r>
      <w:proofErr w:type="gramEnd"/>
      <w:r w:rsidRPr="00AC671E">
        <w:rPr>
          <w:rFonts w:ascii="Arial" w:eastAsia="Times New Roman" w:hAnsi="Arial" w:cs="Arial"/>
          <w:kern w:val="0"/>
          <w14:ligatures w14:val="none"/>
        </w:rPr>
        <w:t xml:space="preserve"> would be useful to describe how storage resources are able to bid into the RUC process and how their state of charge is determined</w:t>
      </w:r>
      <w:r w:rsidR="00B95415" w:rsidRPr="00890C03">
        <w:rPr>
          <w:rFonts w:ascii="Arial" w:eastAsia="Times New Roman" w:hAnsi="Arial" w:cs="Arial"/>
          <w:kern w:val="0"/>
          <w14:ligatures w14:val="none"/>
        </w:rPr>
        <w:t xml:space="preserve"> and any SOC constraints that are included in the RUC. </w:t>
      </w:r>
    </w:p>
    <w:p w14:paraId="4464B201" w14:textId="77777777"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15. Section 6.8.2.2 (pg. 143–144)</w:t>
      </w:r>
      <w:r w:rsidRPr="00AC671E">
        <w:rPr>
          <w:rFonts w:ascii="Arial" w:eastAsia="Times New Roman" w:hAnsi="Arial" w:cs="Arial"/>
          <w:kern w:val="0"/>
          <w14:ligatures w14:val="none"/>
        </w:rPr>
        <w:br/>
        <w:t>This section appears to be written primarily from a CAISO perspective, and it is not clear how the provisions apply to non-CAISO BAAs. Clarification is needed on whether these rules apply across all BAAs and, if so, how they are implemented outside of CAISO. For example, it would be helpful to clarify whether RUC zones are defined in other BAAs, whether the Current Forecast of BAA Demand (CFBD) is calculated for each BAA, and how RUC procurement targets are determined and adjusted. If these elements are addressed in another BPM, a cross-reference would be useful.</w:t>
      </w:r>
    </w:p>
    <w:p w14:paraId="33EB8E36" w14:textId="3906A785" w:rsidR="00AC671E" w:rsidRPr="00AC671E" w:rsidRDefault="00AC671E" w:rsidP="00AC671E">
      <w:pPr>
        <w:spacing w:before="100" w:beforeAutospacing="1" w:after="100" w:afterAutospacing="1" w:line="240" w:lineRule="auto"/>
        <w:rPr>
          <w:rFonts w:ascii="Arial" w:eastAsia="Times New Roman" w:hAnsi="Arial" w:cs="Arial"/>
          <w:kern w:val="0"/>
          <w14:ligatures w14:val="none"/>
        </w:rPr>
      </w:pPr>
      <w:r w:rsidRPr="00AC671E">
        <w:rPr>
          <w:rFonts w:ascii="Arial" w:eastAsia="Times New Roman" w:hAnsi="Arial" w:cs="Arial"/>
          <w:b/>
          <w:bCs/>
          <w:kern w:val="0"/>
          <w14:ligatures w14:val="none"/>
        </w:rPr>
        <w:t>16. Section 6.8.2.6 (pg. 153)</w:t>
      </w:r>
      <w:r w:rsidRPr="00AC671E">
        <w:rPr>
          <w:rFonts w:ascii="Arial" w:eastAsia="Times New Roman" w:hAnsi="Arial" w:cs="Arial"/>
          <w:kern w:val="0"/>
          <w14:ligatures w14:val="none"/>
        </w:rPr>
        <w:br/>
        <w:t xml:space="preserve">The BPM states that non-RA resources may bid into the RUC process optionally, but it does not clarify whether </w:t>
      </w:r>
      <w:r w:rsidR="00EC3C17">
        <w:rPr>
          <w:rFonts w:ascii="Arial" w:eastAsia="Times New Roman" w:hAnsi="Arial" w:cs="Arial"/>
          <w:kern w:val="0"/>
          <w14:ligatures w14:val="none"/>
        </w:rPr>
        <w:t xml:space="preserve">“non-RA” also applies to non-CAISO EDAM resources. </w:t>
      </w:r>
      <w:r w:rsidRPr="00AC671E">
        <w:rPr>
          <w:rFonts w:ascii="Arial" w:eastAsia="Times New Roman" w:hAnsi="Arial" w:cs="Arial"/>
          <w:kern w:val="0"/>
          <w14:ligatures w14:val="none"/>
        </w:rPr>
        <w:t xml:space="preserve"> </w:t>
      </w:r>
      <w:r w:rsidR="00EC3C17">
        <w:rPr>
          <w:rFonts w:ascii="Arial" w:eastAsia="Times New Roman" w:hAnsi="Arial" w:cs="Arial"/>
          <w:kern w:val="0"/>
          <w14:ligatures w14:val="none"/>
        </w:rPr>
        <w:t xml:space="preserve">It would be helpful to understand which resources have bidding obligations. </w:t>
      </w:r>
      <w:r w:rsidRPr="00AC671E">
        <w:rPr>
          <w:rFonts w:ascii="Arial" w:eastAsia="Times New Roman" w:hAnsi="Arial" w:cs="Arial"/>
          <w:kern w:val="0"/>
          <w14:ligatures w14:val="none"/>
        </w:rPr>
        <w:t xml:space="preserve"> </w:t>
      </w:r>
    </w:p>
    <w:sectPr w:rsidR="00AC671E" w:rsidRPr="00AC6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9B4"/>
    <w:multiLevelType w:val="hybridMultilevel"/>
    <w:tmpl w:val="3EB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D75F4"/>
    <w:multiLevelType w:val="hybridMultilevel"/>
    <w:tmpl w:val="B6B60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64A18"/>
    <w:multiLevelType w:val="hybridMultilevel"/>
    <w:tmpl w:val="66F6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D7CDF"/>
    <w:multiLevelType w:val="hybridMultilevel"/>
    <w:tmpl w:val="835E0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82C02"/>
    <w:multiLevelType w:val="hybridMultilevel"/>
    <w:tmpl w:val="F06E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616904">
    <w:abstractNumId w:val="1"/>
  </w:num>
  <w:num w:numId="2" w16cid:durableId="921836475">
    <w:abstractNumId w:val="0"/>
  </w:num>
  <w:num w:numId="3" w16cid:durableId="1109200093">
    <w:abstractNumId w:val="3"/>
  </w:num>
  <w:num w:numId="4" w16cid:durableId="1637907367">
    <w:abstractNumId w:val="2"/>
  </w:num>
  <w:num w:numId="5" w16cid:durableId="94903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7E"/>
    <w:rsid w:val="0000027E"/>
    <w:rsid w:val="00011D7B"/>
    <w:rsid w:val="00101913"/>
    <w:rsid w:val="001665F1"/>
    <w:rsid w:val="0026058B"/>
    <w:rsid w:val="003110CB"/>
    <w:rsid w:val="00323B50"/>
    <w:rsid w:val="003B5B21"/>
    <w:rsid w:val="003C4134"/>
    <w:rsid w:val="003C5937"/>
    <w:rsid w:val="004179FD"/>
    <w:rsid w:val="004643C9"/>
    <w:rsid w:val="004B56BE"/>
    <w:rsid w:val="005E7CCB"/>
    <w:rsid w:val="006057F9"/>
    <w:rsid w:val="00613A3D"/>
    <w:rsid w:val="0065123F"/>
    <w:rsid w:val="00731970"/>
    <w:rsid w:val="00876323"/>
    <w:rsid w:val="00890C03"/>
    <w:rsid w:val="00912FC1"/>
    <w:rsid w:val="009149E3"/>
    <w:rsid w:val="00943216"/>
    <w:rsid w:val="009618A3"/>
    <w:rsid w:val="00AC671E"/>
    <w:rsid w:val="00AD192B"/>
    <w:rsid w:val="00B7552A"/>
    <w:rsid w:val="00B95415"/>
    <w:rsid w:val="00C33E0D"/>
    <w:rsid w:val="00D04C9F"/>
    <w:rsid w:val="00DD3B99"/>
    <w:rsid w:val="00E55993"/>
    <w:rsid w:val="00E851EA"/>
    <w:rsid w:val="00EC3C17"/>
    <w:rsid w:val="00F7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2FF3"/>
  <w15:chartTrackingRefBased/>
  <w15:docId w15:val="{AF73A11D-C107-464D-B8BE-D1C6817B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CB"/>
  </w:style>
  <w:style w:type="paragraph" w:styleId="Heading1">
    <w:name w:val="heading 1"/>
    <w:basedOn w:val="Normal"/>
    <w:next w:val="Normal"/>
    <w:link w:val="Heading1Char"/>
    <w:uiPriority w:val="9"/>
    <w:qFormat/>
    <w:rsid w:val="00000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27E"/>
    <w:rPr>
      <w:rFonts w:eastAsiaTheme="majorEastAsia" w:cstheme="majorBidi"/>
      <w:color w:val="272727" w:themeColor="text1" w:themeTint="D8"/>
    </w:rPr>
  </w:style>
  <w:style w:type="paragraph" w:styleId="Title">
    <w:name w:val="Title"/>
    <w:basedOn w:val="Normal"/>
    <w:next w:val="Normal"/>
    <w:link w:val="TitleChar"/>
    <w:uiPriority w:val="10"/>
    <w:qFormat/>
    <w:rsid w:val="00000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27E"/>
    <w:pPr>
      <w:spacing w:before="160"/>
      <w:jc w:val="center"/>
    </w:pPr>
    <w:rPr>
      <w:i/>
      <w:iCs/>
      <w:color w:val="404040" w:themeColor="text1" w:themeTint="BF"/>
    </w:rPr>
  </w:style>
  <w:style w:type="character" w:customStyle="1" w:styleId="QuoteChar">
    <w:name w:val="Quote Char"/>
    <w:basedOn w:val="DefaultParagraphFont"/>
    <w:link w:val="Quote"/>
    <w:uiPriority w:val="29"/>
    <w:rsid w:val="0000027E"/>
    <w:rPr>
      <w:i/>
      <w:iCs/>
      <w:color w:val="404040" w:themeColor="text1" w:themeTint="BF"/>
    </w:rPr>
  </w:style>
  <w:style w:type="paragraph" w:styleId="ListParagraph">
    <w:name w:val="List Paragraph"/>
    <w:basedOn w:val="Normal"/>
    <w:uiPriority w:val="34"/>
    <w:qFormat/>
    <w:rsid w:val="0000027E"/>
    <w:pPr>
      <w:ind w:left="720"/>
      <w:contextualSpacing/>
    </w:pPr>
  </w:style>
  <w:style w:type="character" w:styleId="IntenseEmphasis">
    <w:name w:val="Intense Emphasis"/>
    <w:basedOn w:val="DefaultParagraphFont"/>
    <w:uiPriority w:val="21"/>
    <w:qFormat/>
    <w:rsid w:val="0000027E"/>
    <w:rPr>
      <w:i/>
      <w:iCs/>
      <w:color w:val="0F4761" w:themeColor="accent1" w:themeShade="BF"/>
    </w:rPr>
  </w:style>
  <w:style w:type="paragraph" w:styleId="IntenseQuote">
    <w:name w:val="Intense Quote"/>
    <w:basedOn w:val="Normal"/>
    <w:next w:val="Normal"/>
    <w:link w:val="IntenseQuoteChar"/>
    <w:uiPriority w:val="30"/>
    <w:qFormat/>
    <w:rsid w:val="00000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27E"/>
    <w:rPr>
      <w:i/>
      <w:iCs/>
      <w:color w:val="0F4761" w:themeColor="accent1" w:themeShade="BF"/>
    </w:rPr>
  </w:style>
  <w:style w:type="character" w:styleId="IntenseReference">
    <w:name w:val="Intense Reference"/>
    <w:basedOn w:val="DefaultParagraphFont"/>
    <w:uiPriority w:val="32"/>
    <w:qFormat/>
    <w:rsid w:val="0000027E"/>
    <w:rPr>
      <w:b/>
      <w:bCs/>
      <w:smallCaps/>
      <w:color w:val="0F4761" w:themeColor="accent1" w:themeShade="BF"/>
      <w:spacing w:val="5"/>
    </w:rPr>
  </w:style>
  <w:style w:type="character" w:styleId="CommentReference">
    <w:name w:val="annotation reference"/>
    <w:uiPriority w:val="99"/>
    <w:semiHidden/>
    <w:rsid w:val="004643C9"/>
    <w:rPr>
      <w:sz w:val="16"/>
      <w:szCs w:val="16"/>
    </w:rPr>
  </w:style>
  <w:style w:type="paragraph" w:styleId="CommentText">
    <w:name w:val="annotation text"/>
    <w:basedOn w:val="Normal"/>
    <w:link w:val="CommentTextChar"/>
    <w:uiPriority w:val="99"/>
    <w:semiHidden/>
    <w:rsid w:val="004643C9"/>
    <w:pPr>
      <w:spacing w:after="12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semiHidden/>
    <w:rsid w:val="004643C9"/>
    <w:rPr>
      <w:rFonts w:ascii="Arial" w:eastAsia="Times New Roman" w:hAnsi="Arial" w:cs="Times New Roman"/>
      <w:kern w:val="0"/>
      <w:sz w:val="20"/>
      <w:szCs w:val="20"/>
      <w14:ligatures w14:val="none"/>
    </w:rPr>
  </w:style>
  <w:style w:type="paragraph" w:customStyle="1" w:styleId="ParaText">
    <w:name w:val="ParaText"/>
    <w:basedOn w:val="Normal"/>
    <w:link w:val="ParaTextChar1"/>
    <w:rsid w:val="004643C9"/>
    <w:pPr>
      <w:spacing w:after="240" w:line="300" w:lineRule="auto"/>
      <w:jc w:val="both"/>
    </w:pPr>
    <w:rPr>
      <w:rFonts w:ascii="Arial" w:eastAsia="Times New Roman" w:hAnsi="Arial" w:cs="Times New Roman"/>
      <w:kern w:val="0"/>
      <w:sz w:val="22"/>
      <w:szCs w:val="20"/>
      <w14:ligatures w14:val="none"/>
    </w:rPr>
  </w:style>
  <w:style w:type="character" w:customStyle="1" w:styleId="ParaTextChar1">
    <w:name w:val="ParaText Char1"/>
    <w:link w:val="ParaText"/>
    <w:rsid w:val="004643C9"/>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25C99-80FB-405E-A468-9E91DF0B33C9}"/>
</file>

<file path=customXml/itemProps2.xml><?xml version="1.0" encoding="utf-8"?>
<ds:datastoreItem xmlns:ds="http://schemas.openxmlformats.org/officeDocument/2006/customXml" ds:itemID="{AF7AD7DC-E782-4954-9D08-29ACD9F66BB6}"/>
</file>

<file path=customXml/itemProps3.xml><?xml version="1.0" encoding="utf-8"?>
<ds:datastoreItem xmlns:ds="http://schemas.openxmlformats.org/officeDocument/2006/customXml" ds:itemID="{FF5A2CFB-9E61-42F4-B1FA-3AFF5055687A}"/>
</file>

<file path=docProps/app.xml><?xml version="1.0" encoding="utf-8"?>
<Properties xmlns="http://schemas.openxmlformats.org/officeDocument/2006/extended-properties" xmlns:vt="http://schemas.openxmlformats.org/officeDocument/2006/docPropsVTypes">
  <Template>Normal</Template>
  <TotalTime>10</TotalTime>
  <Pages>3</Pages>
  <Words>1059</Words>
  <Characters>5693</Characters>
  <Application>Microsoft Office Word</Application>
  <DocSecurity>0</DocSecurity>
  <Lines>101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Kallie Wells</dc:creator>
  <cp:keywords/>
  <dc:description/>
  <cp:lastModifiedBy>Kallie Wells</cp:lastModifiedBy>
  <cp:revision>5</cp:revision>
  <dcterms:created xsi:type="dcterms:W3CDTF">2026-04-14T20:49:00Z</dcterms:created>
  <dcterms:modified xsi:type="dcterms:W3CDTF">2026-04-14T20:56:00Z</dcterms:modified>
</cp:coreProperties>
</file>